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65CADDE5"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#107-e</w:t>
      </w:r>
      <w:r w:rsidRPr="00A277BA">
        <w:rPr>
          <w:rFonts w:ascii="Arial" w:eastAsia="SimSun" w:hAnsi="Arial" w:cs="Times New Roman"/>
          <w:sz w:val="20"/>
          <w:szCs w:val="20"/>
          <w:lang w:eastAsia="en-US"/>
        </w:rPr>
        <w:tab/>
      </w:r>
      <w:r w:rsidR="00D34285" w:rsidRPr="00D34285">
        <w:rPr>
          <w:rFonts w:ascii="Arial" w:eastAsia="SimSun" w:hAnsi="Arial" w:cs="Times New Roman"/>
          <w:b/>
          <w:bCs/>
          <w:i/>
          <w:iCs/>
          <w:sz w:val="20"/>
          <w:szCs w:val="20"/>
          <w:lang w:eastAsia="en-US"/>
        </w:rPr>
        <w:t>R1-2111182</w:t>
      </w:r>
    </w:p>
    <w:p w14:paraId="3211EBB9"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4"/>
          <w:lang w:eastAsia="ja-JP"/>
        </w:rPr>
      </w:pPr>
      <w:r w:rsidRPr="00A277BA">
        <w:rPr>
          <w:rFonts w:ascii="Arial" w:eastAsia="MS Mincho" w:hAnsi="Arial" w:cs="Arial"/>
          <w:b/>
          <w:bCs/>
          <w:kern w:val="2"/>
          <w:sz w:val="20"/>
          <w:szCs w:val="24"/>
          <w:lang w:eastAsia="ja-JP"/>
        </w:rPr>
        <w:t>e-Meeting, Nov. 11</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xml:space="preserve"> – 19</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2021</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672C7C75"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w:t>
      </w:r>
      <w:r w:rsidR="00756DB0">
        <w:rPr>
          <w:rFonts w:ascii="Arial" w:eastAsia="MS Mincho" w:hAnsi="Arial" w:cs="Times New Roman"/>
          <w:b/>
          <w:sz w:val="20"/>
          <w:szCs w:val="20"/>
          <w:lang w:eastAsia="en-US"/>
        </w:rPr>
        <w:t>15</w:t>
      </w:r>
      <w:r w:rsidRPr="00A277BA">
        <w:rPr>
          <w:rFonts w:ascii="Arial" w:eastAsia="MS Mincho" w:hAnsi="Arial" w:cs="Times New Roman"/>
          <w:b/>
          <w:sz w:val="20"/>
          <w:szCs w:val="20"/>
          <w:lang w:eastAsia="en-US"/>
        </w:rPr>
        <w:t>.</w:t>
      </w:r>
      <w:r w:rsidR="008C088D">
        <w:rPr>
          <w:rFonts w:ascii="Arial" w:eastAsia="MS Mincho" w:hAnsi="Arial" w:cs="Times New Roman"/>
          <w:b/>
          <w:sz w:val="20"/>
          <w:szCs w:val="20"/>
          <w:lang w:eastAsia="en-US"/>
        </w:rPr>
        <w:t>1</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7DDFAAEF"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030B1" w:rsidRPr="00B030B1">
        <w:rPr>
          <w:rFonts w:ascii="Arial" w:eastAsia="MS Mincho" w:hAnsi="Arial" w:cs="Times New Roman"/>
          <w:b/>
          <w:sz w:val="20"/>
          <w:szCs w:val="20"/>
          <w:lang w:eastAsia="en-US"/>
        </w:rPr>
        <w:t>Enhancements to time and frequency synchronization</w:t>
      </w:r>
      <w:r w:rsidR="00B030B1" w:rsidRPr="00B030B1">
        <w:t xml:space="preserve"> </w:t>
      </w:r>
      <w:r w:rsidR="00B030B1" w:rsidRPr="00B030B1">
        <w:rPr>
          <w:rFonts w:ascii="Arial" w:eastAsia="MS Mincho" w:hAnsi="Arial" w:cs="Times New Roman"/>
          <w:b/>
          <w:sz w:val="20"/>
          <w:szCs w:val="20"/>
          <w:lang w:eastAsia="en-US"/>
        </w:rPr>
        <w:t>for IoT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18250F74" w14:textId="77777777" w:rsidR="003F7CB4" w:rsidRPr="003F7CB4" w:rsidRDefault="003F7CB4" w:rsidP="003F7CB4">
      <w:pPr>
        <w:rPr>
          <w:rFonts w:eastAsia="MS Mincho" w:cs="Times New Roman"/>
          <w:lang w:eastAsia="en-US"/>
        </w:rPr>
      </w:pPr>
      <w:r w:rsidRPr="003F7CB4">
        <w:rPr>
          <w:rFonts w:eastAsia="MS Mincho" w:cs="Times New Roman"/>
          <w:lang w:eastAsia="en-US"/>
        </w:rPr>
        <w:t>The work item on NB-IoT/eMTC support for NTN was approved at RAN#92-e [1] and one objective is to specify time and frequency synchronization enhancements using NR_NTN_solutions WI agreements as baseline, according to Section 8 in TR 36.763 [2]. In TR 36.763, IoT NTN specific time and frequency synchronization enhancements are listed as below:</w:t>
      </w:r>
    </w:p>
    <w:p w14:paraId="60CE853E" w14:textId="06A659BD" w:rsidR="003F7CB4" w:rsidRPr="003F7CB4" w:rsidRDefault="003F7CB4" w:rsidP="003F7CB4">
      <w:pPr>
        <w:pStyle w:val="ListParagraph"/>
        <w:numPr>
          <w:ilvl w:val="0"/>
          <w:numId w:val="26"/>
        </w:numPr>
        <w:rPr>
          <w:rFonts w:eastAsia="MS Mincho" w:cs="Times New Roman"/>
          <w:lang w:eastAsia="en-US"/>
        </w:rPr>
      </w:pPr>
      <w:r w:rsidRPr="003F7CB4">
        <w:rPr>
          <w:rFonts w:eastAsia="MS Mincho" w:cs="Times New Roman"/>
          <w:lang w:eastAsia="en-US"/>
        </w:rPr>
        <w:t>Long PUSCH and PRACH Transmission enhancements: segmented UE pre-compensations, new UL gaps and/or implementation solutions, time units and duration of segments…</w:t>
      </w:r>
    </w:p>
    <w:p w14:paraId="6DDA8CE3" w14:textId="22D767AE" w:rsidR="003F7CB4" w:rsidRPr="003F7CB4" w:rsidRDefault="003F7CB4" w:rsidP="003F7CB4">
      <w:pPr>
        <w:pStyle w:val="ListParagraph"/>
        <w:numPr>
          <w:ilvl w:val="0"/>
          <w:numId w:val="26"/>
        </w:numPr>
        <w:rPr>
          <w:rFonts w:eastAsia="MS Mincho" w:cs="Times New Roman"/>
          <w:lang w:eastAsia="en-US"/>
        </w:rPr>
      </w:pPr>
      <w:r w:rsidRPr="003F7CB4">
        <w:rPr>
          <w:rFonts w:eastAsia="MS Mincho" w:cs="Times New Roman"/>
          <w:lang w:eastAsia="en-US"/>
        </w:rPr>
        <w:t>Validity timer for UL synchronization: satellite ephemeris, and potentially other aspects</w:t>
      </w:r>
    </w:p>
    <w:p w14:paraId="745BD9D9" w14:textId="6B4529E0" w:rsidR="003F7CB4" w:rsidRPr="003F7CB4" w:rsidRDefault="003F7CB4" w:rsidP="003F7CB4">
      <w:pPr>
        <w:pStyle w:val="ListParagraph"/>
        <w:numPr>
          <w:ilvl w:val="0"/>
          <w:numId w:val="26"/>
        </w:numPr>
        <w:rPr>
          <w:rFonts w:eastAsia="MS Mincho" w:cs="Times New Roman"/>
          <w:lang w:eastAsia="en-US"/>
        </w:rPr>
      </w:pPr>
      <w:r w:rsidRPr="003F7CB4">
        <w:rPr>
          <w:rFonts w:eastAsia="MS Mincho" w:cs="Times New Roman"/>
          <w:lang w:eastAsia="en-US"/>
        </w:rPr>
        <w:t>DL synchronization enhancements: new channel raster, (part of) ARFCN-indication-in-MIB</w:t>
      </w:r>
    </w:p>
    <w:p w14:paraId="02C13D91" w14:textId="6C89CD64" w:rsidR="003F7CB4" w:rsidRPr="003F7CB4" w:rsidRDefault="003F7CB4" w:rsidP="003F7CB4">
      <w:pPr>
        <w:pStyle w:val="ListParagraph"/>
        <w:numPr>
          <w:ilvl w:val="0"/>
          <w:numId w:val="26"/>
        </w:numPr>
        <w:rPr>
          <w:rFonts w:eastAsia="MS Mincho" w:cs="Times New Roman"/>
          <w:lang w:eastAsia="en-US"/>
        </w:rPr>
      </w:pPr>
      <w:r w:rsidRPr="003F7CB4">
        <w:rPr>
          <w:rFonts w:eastAsia="MS Mincho" w:cs="Times New Roman"/>
          <w:lang w:eastAsia="en-US"/>
        </w:rPr>
        <w:t>GNSS Measurements: Validity of a GNSS position fix and details of acquiring a GNSS position fix, duration of validity, in RRC CONNECTED mode for sporadic short transmission</w:t>
      </w:r>
    </w:p>
    <w:p w14:paraId="1D599F23" w14:textId="4A638E29" w:rsidR="003F7CB4" w:rsidRDefault="003F7CB4" w:rsidP="003F7CB4">
      <w:pPr>
        <w:rPr>
          <w:rFonts w:eastAsia="MS Mincho" w:cs="Times New Roman"/>
          <w:lang w:eastAsia="en-US"/>
        </w:rPr>
      </w:pPr>
      <w:r w:rsidRPr="003F7CB4">
        <w:rPr>
          <w:rFonts w:eastAsia="MS Mincho" w:cs="Times New Roman"/>
          <w:lang w:eastAsia="en-US"/>
        </w:rPr>
        <w:t>In this contribution, we discuss our views on necessary changes for time/frequency adjustment for NB-IoT/eMTC UEs in NTN.</w:t>
      </w:r>
    </w:p>
    <w:p w14:paraId="0C3AFB19" w14:textId="77777777" w:rsidR="0082773D" w:rsidRPr="00B328F2" w:rsidRDefault="0082773D" w:rsidP="00690981">
      <w:pPr>
        <w:pStyle w:val="Heading1"/>
      </w:pPr>
      <w:r w:rsidRPr="00B328F2">
        <w:t xml:space="preserve">Discussion </w:t>
      </w:r>
    </w:p>
    <w:p w14:paraId="23A56833" w14:textId="2DAA49B5" w:rsidR="005416DF" w:rsidRPr="005416DF" w:rsidRDefault="005416DF" w:rsidP="005416DF">
      <w:pPr>
        <w:pStyle w:val="Heading2"/>
        <w:rPr>
          <w:lang w:eastAsia="ja-JP"/>
        </w:rPr>
      </w:pPr>
      <w:r w:rsidRPr="005416DF">
        <w:rPr>
          <w:lang w:eastAsia="ja-JP"/>
        </w:rPr>
        <w:t xml:space="preserve">GNSS </w:t>
      </w:r>
      <w:r w:rsidR="00B80D46">
        <w:rPr>
          <w:lang w:eastAsia="ja-JP"/>
        </w:rPr>
        <w:t>m</w:t>
      </w:r>
      <w:r w:rsidRPr="005416DF">
        <w:rPr>
          <w:lang w:eastAsia="ja-JP"/>
        </w:rPr>
        <w:t xml:space="preserve">easurements </w:t>
      </w:r>
      <w:r>
        <w:rPr>
          <w:lang w:eastAsia="ja-JP"/>
        </w:rPr>
        <w:t xml:space="preserve">for </w:t>
      </w:r>
      <w:r w:rsidRPr="005416DF">
        <w:rPr>
          <w:lang w:eastAsia="ja-JP"/>
        </w:rPr>
        <w:t>RRC_CONNECTED</w:t>
      </w:r>
      <w:r w:rsidR="00D37311" w:rsidRPr="00D37311">
        <w:rPr>
          <w:lang w:eastAsia="ja-JP"/>
        </w:rPr>
        <w:t xml:space="preserve"> </w:t>
      </w:r>
      <w:r w:rsidR="00D37311">
        <w:rPr>
          <w:lang w:eastAsia="ja-JP"/>
        </w:rPr>
        <w:t>UEs</w:t>
      </w:r>
    </w:p>
    <w:p w14:paraId="1804AA53" w14:textId="296FBF47" w:rsidR="00B84482" w:rsidRDefault="00285454" w:rsidP="00BC3E32">
      <w:r w:rsidRPr="00285454">
        <w:t>In the IoT NTN, GNSS capability in the UE is taken as a working assumption for both NB-IoT and eMTC devices. However, simultaneous GNSS and NTN NB-IoT/eMTC operation is not assumed. Once a UE acquires GNSS fix, it will become inaccurate after a certain time because of UE movement or satellite perturbation and new acquisition for GNSS would be needed to avoid UE asynchronization before any UL transmission. Acquisition of GNSS position fix for sporadic short transmission was discussed in RAN1#106-e meeting and the following agreement was made:</w:t>
      </w:r>
    </w:p>
    <w:p w14:paraId="277E426A" w14:textId="09A06BB3" w:rsidR="00285454" w:rsidRPr="00A4141B" w:rsidRDefault="00285454" w:rsidP="00A4141B">
      <w:pPr>
        <w:ind w:left="720"/>
        <w:rPr>
          <w:rFonts w:eastAsia="Batang" w:cs="Times"/>
          <w:sz w:val="20"/>
          <w:szCs w:val="18"/>
          <w:lang w:eastAsia="x-none"/>
        </w:rPr>
      </w:pPr>
      <w:r w:rsidRPr="00A4141B">
        <w:rPr>
          <w:rFonts w:cs="Times"/>
          <w:sz w:val="20"/>
          <w:szCs w:val="18"/>
          <w:highlight w:val="green"/>
          <w:lang w:eastAsia="x-none"/>
        </w:rPr>
        <w:t>Agreement</w:t>
      </w:r>
      <w:r w:rsidR="00A4141B" w:rsidRPr="00A4141B">
        <w:rPr>
          <w:rFonts w:cs="Times"/>
          <w:sz w:val="20"/>
          <w:szCs w:val="18"/>
          <w:highlight w:val="green"/>
          <w:lang w:eastAsia="x-none"/>
        </w:rPr>
        <w:t xml:space="preserve"> in RAN1 106e</w:t>
      </w:r>
      <w:r w:rsidRPr="00A4141B">
        <w:rPr>
          <w:rFonts w:cs="Times"/>
          <w:sz w:val="20"/>
          <w:szCs w:val="18"/>
          <w:highlight w:val="green"/>
          <w:lang w:eastAsia="x-none"/>
        </w:rPr>
        <w:t>:</w:t>
      </w:r>
    </w:p>
    <w:p w14:paraId="31C6A3B1" w14:textId="77777777" w:rsidR="00285454" w:rsidRPr="00A4141B" w:rsidRDefault="00285454" w:rsidP="00A4141B">
      <w:pPr>
        <w:ind w:left="720"/>
        <w:rPr>
          <w:rFonts w:cs="Times"/>
          <w:i/>
          <w:iCs/>
          <w:sz w:val="20"/>
          <w:szCs w:val="18"/>
          <w:lang w:eastAsia="x-none"/>
        </w:rPr>
      </w:pPr>
      <w:r w:rsidRPr="00A4141B">
        <w:rPr>
          <w:rFonts w:cs="Times"/>
          <w:i/>
          <w:iCs/>
          <w:sz w:val="20"/>
          <w:szCs w:val="18"/>
          <w:lang w:eastAsia="x-none"/>
        </w:rPr>
        <w:t>For sporadic short transmission, UE in RRC_CONNECTED should go back to idle mode and re-acquire a GNSS position fix if GNSS becomes outdated.</w:t>
      </w:r>
    </w:p>
    <w:p w14:paraId="78BD3E9F" w14:textId="77777777" w:rsidR="00B36DA9" w:rsidRDefault="00A4141B" w:rsidP="00A4141B">
      <w:r>
        <w:t xml:space="preserve">It is important to define a mechanism for </w:t>
      </w:r>
      <w:r w:rsidR="00990AA4">
        <w:t>a specific</w:t>
      </w:r>
      <w:r>
        <w:t xml:space="preserve"> UE</w:t>
      </w:r>
      <w:r w:rsidR="00990AA4">
        <w:t xml:space="preserve"> and </w:t>
      </w:r>
      <w:r w:rsidR="007B21B4">
        <w:t xml:space="preserve">its serving </w:t>
      </w:r>
      <w:r w:rsidR="00990AA4">
        <w:t xml:space="preserve">eNB </w:t>
      </w:r>
      <w:r>
        <w:t xml:space="preserve">to </w:t>
      </w:r>
      <w:r w:rsidR="00990AA4">
        <w:t xml:space="preserve">have the same understanding of the </w:t>
      </w:r>
      <w:r w:rsidR="00990AA4" w:rsidRPr="00990AA4">
        <w:t>GNSS position fix validity duration</w:t>
      </w:r>
      <w:r w:rsidR="00990AA4">
        <w:t xml:space="preserve">. </w:t>
      </w:r>
      <w:r w:rsidR="001F62C0">
        <w:t>The</w:t>
      </w:r>
      <w:r>
        <w:t xml:space="preserve"> feature lead encouraged companies to contribute to this meeting on what is required to </w:t>
      </w:r>
      <w:r w:rsidR="001F62C0">
        <w:t xml:space="preserve">support the mechanism. </w:t>
      </w:r>
      <w:r w:rsidR="00075B1C">
        <w:t>To determine</w:t>
      </w:r>
      <w:r>
        <w:t xml:space="preserve"> how long a GNSS fix is valid and </w:t>
      </w:r>
      <w:r w:rsidR="00B36DA9">
        <w:t xml:space="preserve">there are </w:t>
      </w:r>
      <w:r>
        <w:t>two options</w:t>
      </w:r>
      <w:r w:rsidR="00B36DA9">
        <w:t xml:space="preserve"> currently: </w:t>
      </w:r>
    </w:p>
    <w:p w14:paraId="7747839E" w14:textId="77777777" w:rsidR="00A4141B" w:rsidRDefault="00A4141B" w:rsidP="00B36DA9">
      <w:pPr>
        <w:pStyle w:val="ListParagraph"/>
        <w:numPr>
          <w:ilvl w:val="0"/>
          <w:numId w:val="28"/>
        </w:numPr>
      </w:pPr>
      <w:r>
        <w:t>Option 1: An internal timer in the device is used by UE to set autonomously the GNSS validity duration</w:t>
      </w:r>
    </w:p>
    <w:p w14:paraId="0D914C79" w14:textId="77777777" w:rsidR="00A4141B" w:rsidRDefault="00A4141B" w:rsidP="00B36DA9">
      <w:pPr>
        <w:pStyle w:val="ListParagraph"/>
        <w:numPr>
          <w:ilvl w:val="0"/>
          <w:numId w:val="28"/>
        </w:numPr>
      </w:pPr>
      <w:r>
        <w:t>Option 2: A specified timer is used by UE to set autonomously the GNSS validity duration</w:t>
      </w:r>
    </w:p>
    <w:p w14:paraId="1A2F6C0A" w14:textId="77777777" w:rsidR="00A4141B" w:rsidRDefault="00A4141B" w:rsidP="00A4141B">
      <w:r>
        <w:lastRenderedPageBreak/>
        <w:t xml:space="preserve">Since validity duration of GNSS position fix depends on UE’s mobility pattern which the network does not a priori know, we prefer option 1 i.e., an internal timer in the device is used by the UE to set autonomously the GNSS validity duration. </w:t>
      </w:r>
    </w:p>
    <w:p w14:paraId="4048F68D" w14:textId="1060FAA5" w:rsidR="00C25236" w:rsidRDefault="00C25236" w:rsidP="00C25236">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693594"/>
      <w:r w:rsidRPr="00C25236">
        <w:rPr>
          <w:b/>
          <w:bCs/>
          <w:lang w:eastAsia="ko-KR"/>
        </w:rPr>
        <w:t>An internal timer in the device is used by UE to set the GNSS validity duration</w:t>
      </w:r>
      <w:r w:rsidR="0025372F" w:rsidRPr="0025372F">
        <w:rPr>
          <w:b/>
          <w:bCs/>
          <w:lang w:eastAsia="ko-KR"/>
        </w:rPr>
        <w:t xml:space="preserve"> </w:t>
      </w:r>
      <w:r w:rsidR="0025372F" w:rsidRPr="00C25236">
        <w:rPr>
          <w:b/>
          <w:bCs/>
          <w:lang w:eastAsia="ko-KR"/>
        </w:rPr>
        <w:t>autonomously</w:t>
      </w:r>
      <w:r w:rsidRPr="00C25236">
        <w:rPr>
          <w:b/>
          <w:bCs/>
          <w:lang w:eastAsia="ko-KR"/>
        </w:rPr>
        <w:t>.</w:t>
      </w:r>
      <w:bookmarkEnd w:id="0"/>
    </w:p>
    <w:p w14:paraId="34D6C7E6" w14:textId="7A6DB8B6" w:rsidR="00A4141B" w:rsidRDefault="00A4141B" w:rsidP="00A4141B">
      <w:r>
        <w:t xml:space="preserve">To ensure that a UE shall have a valid GNSS position fix for UL transmission, there was some discussion on supporting UE </w:t>
      </w:r>
      <w:r w:rsidR="00990AA4">
        <w:t>behaviour</w:t>
      </w:r>
      <w:r>
        <w:t xml:space="preserve"> such that UE does not start transmission if it cannot complete it before the GNSS position fix becomes outdated. However, if the UE takes this decision autonomously and the eNB does not know whether the lack of UL transmission was due to MPDCCH failure or due to a GNSS position fix timeout, DL and UL resources would be wasted. Therefore, it will be beneficial if there is common understanding between the network and the UE about GNSS validity duration which can also facilitate network scheduling decisions towards UEs with different mobility patterns. A simple solution is that the UE signals to the network the length of time that GNSS position fix is valid for. </w:t>
      </w:r>
      <w:r w:rsidR="005953EE">
        <w:t xml:space="preserve">The timing to report the </w:t>
      </w:r>
      <w:r w:rsidR="007F5509">
        <w:t xml:space="preserve">remaining valid duration of the GNSS position fix is up to UE implementation. </w:t>
      </w:r>
    </w:p>
    <w:p w14:paraId="5B92D1AF" w14:textId="1A11D944" w:rsidR="007F5509" w:rsidRPr="007F5509" w:rsidRDefault="007F5509" w:rsidP="007F5509">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 w:name="_Ref86693599"/>
      <w:r>
        <w:rPr>
          <w:b/>
          <w:bCs/>
          <w:lang w:eastAsia="ko-KR"/>
        </w:rPr>
        <w:t>T</w:t>
      </w:r>
      <w:r w:rsidRPr="007F5509">
        <w:rPr>
          <w:b/>
          <w:bCs/>
          <w:lang w:eastAsia="ko-KR"/>
        </w:rPr>
        <w:t xml:space="preserve">he UE </w:t>
      </w:r>
      <w:r>
        <w:rPr>
          <w:b/>
          <w:bCs/>
          <w:lang w:eastAsia="ko-KR"/>
        </w:rPr>
        <w:t>could</w:t>
      </w:r>
      <w:r w:rsidRPr="007F5509">
        <w:rPr>
          <w:b/>
          <w:bCs/>
          <w:lang w:eastAsia="ko-KR"/>
        </w:rPr>
        <w:t xml:space="preserve"> signal the network the length of time that GNSS position fix is valid</w:t>
      </w:r>
      <w:r>
        <w:rPr>
          <w:b/>
          <w:bCs/>
          <w:lang w:eastAsia="ko-KR"/>
        </w:rPr>
        <w:t xml:space="preserve">, and the </w:t>
      </w:r>
      <w:r w:rsidRPr="007F5509">
        <w:rPr>
          <w:b/>
          <w:bCs/>
          <w:lang w:eastAsia="ko-KR"/>
        </w:rPr>
        <w:t>GNSS position fix validity duration is determined by the UE at the time it is reported by the UE</w:t>
      </w:r>
      <w:bookmarkEnd w:id="1"/>
      <w:r w:rsidR="00860DF4">
        <w:rPr>
          <w:b/>
          <w:bCs/>
          <w:lang w:eastAsia="ko-KR"/>
        </w:rPr>
        <w:t xml:space="preserve">. </w:t>
      </w:r>
    </w:p>
    <w:p w14:paraId="3F09BF5D" w14:textId="3F1CD6B0" w:rsidR="00285454" w:rsidRDefault="00C80E03" w:rsidP="00BC3E32">
      <w:r>
        <w:t xml:space="preserve">The </w:t>
      </w:r>
      <w:r w:rsidRPr="00C80E03">
        <w:t>signalling for UE</w:t>
      </w:r>
      <w:r>
        <w:t xml:space="preserve"> to</w:t>
      </w:r>
      <w:r w:rsidRPr="00C80E03">
        <w:t xml:space="preserve"> report</w:t>
      </w:r>
      <w:r>
        <w:t xml:space="preserve"> the </w:t>
      </w:r>
      <w:r w:rsidRPr="00C80E03">
        <w:t>length of time that GNSS position fix</w:t>
      </w:r>
      <w:r>
        <w:t xml:space="preserve"> could be MAC CE. As it has been discussion in the previous meetings, there is a possibility to reuse the spare bit in </w:t>
      </w:r>
      <w:r w:rsidRPr="00C80E03">
        <w:t>Rel-16 MAC CE Release Assistance Indication</w:t>
      </w:r>
      <w:r>
        <w:t xml:space="preserve">. </w:t>
      </w:r>
      <w:r w:rsidR="001E570E">
        <w:t xml:space="preserve">Reusing the existing signalling </w:t>
      </w:r>
      <w:r w:rsidR="00745B78">
        <w:t xml:space="preserve">or design a same level new signalling </w:t>
      </w:r>
      <w:r w:rsidR="001E570E">
        <w:t xml:space="preserve">will be </w:t>
      </w:r>
      <w:r w:rsidR="00E64C92">
        <w:t>simpler</w:t>
      </w:r>
      <w:r w:rsidR="00745B78">
        <w:t xml:space="preserve"> than using brand new RRC signalling. </w:t>
      </w:r>
    </w:p>
    <w:p w14:paraId="401631C2" w14:textId="45DEE9D9" w:rsidR="00E64C92" w:rsidRDefault="00E64C92" w:rsidP="00E64C92">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2" w:name="_Ref86693606"/>
      <w:bookmarkStart w:id="3" w:name="_Ref86257031"/>
      <w:r w:rsidRPr="00E64C92">
        <w:rPr>
          <w:b/>
          <w:bCs/>
          <w:lang w:eastAsia="ko-KR"/>
        </w:rPr>
        <w:t xml:space="preserve">MAC CE </w:t>
      </w:r>
      <w:r>
        <w:rPr>
          <w:b/>
          <w:bCs/>
          <w:lang w:eastAsia="ko-KR"/>
        </w:rPr>
        <w:t>can be us</w:t>
      </w:r>
      <w:r w:rsidR="00860DF4">
        <w:rPr>
          <w:b/>
          <w:bCs/>
          <w:lang w:eastAsia="ko-KR"/>
        </w:rPr>
        <w:t>ed</w:t>
      </w:r>
      <w:r>
        <w:rPr>
          <w:b/>
          <w:bCs/>
          <w:lang w:eastAsia="ko-KR"/>
        </w:rPr>
        <w:t xml:space="preserve"> by the UE to </w:t>
      </w:r>
      <w:r w:rsidRPr="00E64C92">
        <w:rPr>
          <w:b/>
          <w:bCs/>
          <w:lang w:eastAsia="ko-KR"/>
        </w:rPr>
        <w:t xml:space="preserve">report </w:t>
      </w:r>
      <w:r>
        <w:rPr>
          <w:b/>
          <w:bCs/>
          <w:lang w:eastAsia="ko-KR"/>
        </w:rPr>
        <w:t>the remaining</w:t>
      </w:r>
      <w:r w:rsidRPr="00E64C92">
        <w:t xml:space="preserve"> </w:t>
      </w:r>
      <w:r w:rsidRPr="00E64C92">
        <w:rPr>
          <w:b/>
          <w:bCs/>
          <w:lang w:eastAsia="ko-KR"/>
        </w:rPr>
        <w:t>valid duration</w:t>
      </w:r>
      <w:r>
        <w:rPr>
          <w:b/>
          <w:bCs/>
          <w:lang w:eastAsia="ko-KR"/>
        </w:rPr>
        <w:t xml:space="preserve"> of GNSS position fix</w:t>
      </w:r>
      <w:r w:rsidR="00306071">
        <w:rPr>
          <w:b/>
          <w:bCs/>
          <w:lang w:eastAsia="ko-KR"/>
        </w:rPr>
        <w:t>.</w:t>
      </w:r>
      <w:bookmarkEnd w:id="2"/>
      <w:r w:rsidR="00306071">
        <w:rPr>
          <w:b/>
          <w:bCs/>
          <w:lang w:eastAsia="ko-KR"/>
        </w:rPr>
        <w:t xml:space="preserve"> </w:t>
      </w:r>
    </w:p>
    <w:p w14:paraId="755726CF" w14:textId="7769F681" w:rsidR="00F96867" w:rsidRDefault="00F96867" w:rsidP="00F96867">
      <w:pPr>
        <w:pStyle w:val="Heading2"/>
        <w:rPr>
          <w:lang w:eastAsia="ja-JP"/>
        </w:rPr>
      </w:pPr>
      <w:r>
        <w:rPr>
          <w:lang w:eastAsia="ja-JP"/>
        </w:rPr>
        <w:t>UL gaps for long PUSH and PRACH transmission enhancements</w:t>
      </w:r>
    </w:p>
    <w:p w14:paraId="2B78BF2C" w14:textId="77777777" w:rsidR="00F96867" w:rsidRDefault="00F96867" w:rsidP="00F96867">
      <w:pPr>
        <w:rPr>
          <w:lang w:eastAsia="ko-KR"/>
        </w:rPr>
      </w:pPr>
      <w:r>
        <w:rPr>
          <w:lang w:eastAsia="ko-KR"/>
        </w:rPr>
        <w:t>As mentioned in [1], GNSS capability in the UE is taken as a working assumption for both NB-IoT and eMTC devices. With this assumption, UE can estimate and pre-compensate timing and frequency offset with sufficient accuracy for UL transmission. However, for IoT NTN, the UL transmission duration can be extremely long due to large number of repetitions required to ensure the coverage. The large timing and frequency drifts in NTN may impact system performance if pre-compensation values are not updated for UL synchronization during long UL transmissions. Therefore, segmented UE pre-compensation for long PUSCH and PRACH has been agreed and RAN1 has agreed that the UL transmission segment duration is provided by UE-specific RRC signalling or by signalling in SIB.</w:t>
      </w:r>
    </w:p>
    <w:p w14:paraId="524ACB15" w14:textId="77777777" w:rsidR="00F96867" w:rsidRDefault="00F96867" w:rsidP="00F96867">
      <w:pPr>
        <w:rPr>
          <w:lang w:eastAsia="ko-KR"/>
        </w:rPr>
      </w:pPr>
      <w:r>
        <w:rPr>
          <w:lang w:eastAsia="ko-KR"/>
        </w:rPr>
        <w:t xml:space="preserve">Due to the movement of the satellite, the UE needs to apply different TA pre-compensation values for different segments of long PUSCH and PRACH.  As described in [4], the overlapping between different TA segments depends on the TA values. In our view, uplink gaps between segments of UL transmission can be leveraged to perform time/frequency synchronization and avoid overlapping between segments and phase discontinuity. The transmission gap must be sufficiently long to estimate pre-compensation values at the gNB/UE and report to the UE/gNB. </w:t>
      </w:r>
    </w:p>
    <w:p w14:paraId="64CF24AB" w14:textId="20F93F17" w:rsidR="0083707F" w:rsidRPr="00DC41FE" w:rsidRDefault="00F96867" w:rsidP="00DC41FE">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4" w:name="_Ref86693612"/>
      <w:r w:rsidRPr="00DC41FE">
        <w:rPr>
          <w:b/>
          <w:bCs/>
          <w:lang w:eastAsia="ko-KR"/>
        </w:rPr>
        <w:t>Support UL gaps during long transmission to avoid phase discontinuity between segments.</w:t>
      </w:r>
      <w:bookmarkEnd w:id="4"/>
    </w:p>
    <w:bookmarkEnd w:id="3"/>
    <w:p w14:paraId="0B99284C" w14:textId="5667FC1B" w:rsidR="00A75612" w:rsidRDefault="00A75612" w:rsidP="00A75612">
      <w:pPr>
        <w:pStyle w:val="Heading2"/>
        <w:rPr>
          <w:lang w:eastAsia="ja-JP"/>
        </w:rPr>
      </w:pPr>
      <w:r>
        <w:rPr>
          <w:lang w:eastAsia="ja-JP"/>
        </w:rPr>
        <w:t>DL synchronization enhancement</w:t>
      </w:r>
    </w:p>
    <w:p w14:paraId="0DAB986B" w14:textId="77777777" w:rsidR="00A75612" w:rsidRDefault="00A75612" w:rsidP="00A75612">
      <w:r>
        <w:t>As mentioned earlier, for improving the DL synchronization performance, one of following solution will be selected:</w:t>
      </w:r>
    </w:p>
    <w:p w14:paraId="0B030C2D" w14:textId="2A6FD9E6" w:rsidR="00A75612" w:rsidRDefault="00A75612" w:rsidP="00E12B7D">
      <w:pPr>
        <w:pStyle w:val="ListParagraph"/>
        <w:numPr>
          <w:ilvl w:val="0"/>
          <w:numId w:val="35"/>
        </w:numPr>
      </w:pPr>
      <w:r>
        <w:lastRenderedPageBreak/>
        <w:t xml:space="preserve">New Channel raster with a step size greater than 100 kHz </w:t>
      </w:r>
    </w:p>
    <w:p w14:paraId="0EF6E2E2" w14:textId="7C8A88C5" w:rsidR="00A75612" w:rsidRDefault="00A75612" w:rsidP="00E12B7D">
      <w:pPr>
        <w:pStyle w:val="ListParagraph"/>
        <w:numPr>
          <w:ilvl w:val="0"/>
          <w:numId w:val="35"/>
        </w:numPr>
      </w:pPr>
      <w:r>
        <w:t>(</w:t>
      </w:r>
      <w:proofErr w:type="gramStart"/>
      <w:r>
        <w:t>part</w:t>
      </w:r>
      <w:proofErr w:type="gramEnd"/>
      <w:r>
        <w:t xml:space="preserve"> of) ARFCN-indication-in-MIB</w:t>
      </w:r>
    </w:p>
    <w:p w14:paraId="306AA4FC" w14:textId="77777777" w:rsidR="00A75612" w:rsidRDefault="00A75612" w:rsidP="00A75612">
      <w:r>
        <w:t>Pros and cons of the two solutions have been discussed in the previous meetings without any consensus on selecting single solution. In our view, channel raster with a step size greater than 100 kHz is a simple solution. Although it reduces the number of deployable frequencies available for operators within their allocated spectrum, it results in reduced power consumption due to reduced numbers of rasters in cell search. ARFCN indication in MIB, on the other hand, increases UE complexity since it requires multiple hypotheses testing before decoding the PBCH. Therefore, we support to increase channel raster size for improving downlink synchronization performance which also benefits from reduced signalling overhead as compared to ARFCN indication in MIB.</w:t>
      </w:r>
    </w:p>
    <w:p w14:paraId="5E44AB80" w14:textId="28BBCAF5" w:rsidR="00A4141B" w:rsidRPr="00E12B7D" w:rsidRDefault="00A75612" w:rsidP="00E12B7D">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5" w:name="_Ref86693616"/>
      <w:r w:rsidRPr="00E12B7D">
        <w:rPr>
          <w:b/>
          <w:bCs/>
          <w:lang w:eastAsia="ko-KR"/>
        </w:rPr>
        <w:t>Support increased channel raster size in IoT NTN.</w:t>
      </w:r>
      <w:bookmarkEnd w:id="5"/>
    </w:p>
    <w:p w14:paraId="6A69CE9B" w14:textId="77777777" w:rsidR="00EB1700" w:rsidRPr="00B328F2" w:rsidRDefault="00EB1700" w:rsidP="00456D36">
      <w:pPr>
        <w:rPr>
          <w:lang w:eastAsia="en-US"/>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77777777" w:rsidR="00D56353" w:rsidRPr="00B328F2" w:rsidRDefault="00D56353" w:rsidP="00D56353">
      <w:r w:rsidRPr="00B328F2">
        <w:t xml:space="preserve">From the discussion, we have the following observations and proposals: </w:t>
      </w:r>
    </w:p>
    <w:p w14:paraId="6F5DD5BC" w14:textId="44DDCEE9" w:rsidR="00A277BA" w:rsidRDefault="001B4427"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_Ref86693594 \r \h </w:instrText>
      </w:r>
      <w:r>
        <w:rPr>
          <w:rFonts w:eastAsia="MS Mincho" w:cs="Times New Roman"/>
          <w:b/>
          <w:bCs/>
          <w:kern w:val="2"/>
          <w:lang w:eastAsia="en-US"/>
        </w:rPr>
      </w:r>
      <w:r>
        <w:rPr>
          <w:rFonts w:eastAsia="MS Mincho" w:cs="Times New Roman"/>
          <w:b/>
          <w:bCs/>
          <w:kern w:val="2"/>
          <w:lang w:eastAsia="en-US"/>
        </w:rPr>
        <w:fldChar w:fldCharType="separate"/>
      </w:r>
      <w:r w:rsidR="00860DF4">
        <w:rPr>
          <w:rFonts w:eastAsia="MS Mincho" w:cs="Times New Roman"/>
          <w:b/>
          <w:bCs/>
          <w:kern w:val="2"/>
          <w:lang w:eastAsia="en-US"/>
        </w:rPr>
        <w:t>Proposal 1</w:t>
      </w:r>
      <w:r>
        <w:rPr>
          <w:rFonts w:eastAsia="MS Mincho" w:cs="Times New Roman"/>
          <w:b/>
          <w:bCs/>
          <w:kern w:val="2"/>
          <w:lang w:eastAsia="en-US"/>
        </w:rPr>
        <w:fldChar w:fldCharType="end"/>
      </w:r>
      <w:r>
        <w:rPr>
          <w:rFonts w:eastAsia="MS Mincho" w:cs="Times New Roman"/>
          <w:b/>
          <w:bCs/>
          <w:kern w:val="2"/>
          <w:lang w:eastAsia="en-US"/>
        </w:rPr>
        <w:t xml:space="preserve">. </w:t>
      </w:r>
      <w:r w:rsidR="00405ACE">
        <w:rPr>
          <w:rFonts w:eastAsia="MS Mincho" w:cs="Times New Roman"/>
          <w:b/>
          <w:bCs/>
          <w:kern w:val="2"/>
          <w:lang w:eastAsia="en-US"/>
        </w:rPr>
        <w:fldChar w:fldCharType="begin"/>
      </w:r>
      <w:r w:rsidR="00405ACE">
        <w:rPr>
          <w:rFonts w:eastAsia="MS Mincho" w:cs="Times New Roman"/>
          <w:b/>
          <w:bCs/>
          <w:kern w:val="2"/>
          <w:lang w:eastAsia="en-US"/>
        </w:rPr>
        <w:instrText xml:space="preserve"> REF _Ref86693594 \h </w:instrText>
      </w:r>
      <w:r w:rsidR="00405ACE">
        <w:rPr>
          <w:rFonts w:eastAsia="MS Mincho" w:cs="Times New Roman"/>
          <w:b/>
          <w:bCs/>
          <w:kern w:val="2"/>
          <w:lang w:eastAsia="en-US"/>
        </w:rPr>
      </w:r>
      <w:r w:rsidR="00405ACE">
        <w:rPr>
          <w:rFonts w:eastAsia="MS Mincho" w:cs="Times New Roman"/>
          <w:b/>
          <w:bCs/>
          <w:kern w:val="2"/>
          <w:lang w:eastAsia="en-US"/>
        </w:rPr>
        <w:fldChar w:fldCharType="separate"/>
      </w:r>
      <w:r w:rsidR="00860DF4" w:rsidRPr="00C25236">
        <w:rPr>
          <w:b/>
          <w:bCs/>
          <w:lang w:eastAsia="ko-KR"/>
        </w:rPr>
        <w:t>An internal timer in the device is used by UE to set the GNSS validity duration</w:t>
      </w:r>
      <w:r w:rsidR="00860DF4" w:rsidRPr="0025372F">
        <w:rPr>
          <w:b/>
          <w:bCs/>
          <w:lang w:eastAsia="ko-KR"/>
        </w:rPr>
        <w:t xml:space="preserve"> </w:t>
      </w:r>
      <w:r w:rsidR="00860DF4" w:rsidRPr="00C25236">
        <w:rPr>
          <w:b/>
          <w:bCs/>
          <w:lang w:eastAsia="ko-KR"/>
        </w:rPr>
        <w:t>autonomously.</w:t>
      </w:r>
      <w:r w:rsidR="00405ACE">
        <w:rPr>
          <w:rFonts w:eastAsia="MS Mincho" w:cs="Times New Roman"/>
          <w:b/>
          <w:bCs/>
          <w:kern w:val="2"/>
          <w:lang w:eastAsia="en-US"/>
        </w:rPr>
        <w:fldChar w:fldCharType="end"/>
      </w:r>
    </w:p>
    <w:p w14:paraId="7AA6E0A3" w14:textId="657F8D3B" w:rsidR="001B4427" w:rsidRDefault="001B4427"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_Ref86693599 \r \h </w:instrText>
      </w:r>
      <w:r>
        <w:rPr>
          <w:rFonts w:eastAsia="MS Mincho" w:cs="Times New Roman"/>
          <w:b/>
          <w:bCs/>
          <w:kern w:val="2"/>
          <w:lang w:eastAsia="en-US"/>
        </w:rPr>
      </w:r>
      <w:r>
        <w:rPr>
          <w:rFonts w:eastAsia="MS Mincho" w:cs="Times New Roman"/>
          <w:b/>
          <w:bCs/>
          <w:kern w:val="2"/>
          <w:lang w:eastAsia="en-US"/>
        </w:rPr>
        <w:fldChar w:fldCharType="separate"/>
      </w:r>
      <w:r w:rsidR="00860DF4">
        <w:rPr>
          <w:rFonts w:eastAsia="MS Mincho" w:cs="Times New Roman"/>
          <w:b/>
          <w:bCs/>
          <w:kern w:val="2"/>
          <w:lang w:eastAsia="en-US"/>
        </w:rPr>
        <w:t>Proposal 2</w:t>
      </w:r>
      <w:r>
        <w:rPr>
          <w:rFonts w:eastAsia="MS Mincho" w:cs="Times New Roman"/>
          <w:b/>
          <w:bCs/>
          <w:kern w:val="2"/>
          <w:lang w:eastAsia="en-US"/>
        </w:rPr>
        <w:fldChar w:fldCharType="end"/>
      </w:r>
      <w:r>
        <w:rPr>
          <w:rFonts w:eastAsia="MS Mincho" w:cs="Times New Roman"/>
          <w:b/>
          <w:bCs/>
          <w:kern w:val="2"/>
          <w:lang w:eastAsia="en-US"/>
        </w:rPr>
        <w:t xml:space="preserve">. </w:t>
      </w:r>
      <w:r w:rsidR="00405ACE">
        <w:rPr>
          <w:rFonts w:eastAsia="MS Mincho" w:cs="Times New Roman"/>
          <w:b/>
          <w:bCs/>
          <w:kern w:val="2"/>
          <w:lang w:eastAsia="en-US"/>
        </w:rPr>
        <w:fldChar w:fldCharType="begin"/>
      </w:r>
      <w:r w:rsidR="00405ACE">
        <w:rPr>
          <w:rFonts w:eastAsia="MS Mincho" w:cs="Times New Roman"/>
          <w:b/>
          <w:bCs/>
          <w:kern w:val="2"/>
          <w:lang w:eastAsia="en-US"/>
        </w:rPr>
        <w:instrText xml:space="preserve"> REF _Ref86693599 \h </w:instrText>
      </w:r>
      <w:r w:rsidR="00405ACE">
        <w:rPr>
          <w:rFonts w:eastAsia="MS Mincho" w:cs="Times New Roman"/>
          <w:b/>
          <w:bCs/>
          <w:kern w:val="2"/>
          <w:lang w:eastAsia="en-US"/>
        </w:rPr>
      </w:r>
      <w:r w:rsidR="00405ACE">
        <w:rPr>
          <w:rFonts w:eastAsia="MS Mincho" w:cs="Times New Roman"/>
          <w:b/>
          <w:bCs/>
          <w:kern w:val="2"/>
          <w:lang w:eastAsia="en-US"/>
        </w:rPr>
        <w:fldChar w:fldCharType="separate"/>
      </w:r>
      <w:r w:rsidR="00860DF4">
        <w:rPr>
          <w:b/>
          <w:bCs/>
          <w:lang w:eastAsia="ko-KR"/>
        </w:rPr>
        <w:t>T</w:t>
      </w:r>
      <w:r w:rsidR="00860DF4" w:rsidRPr="007F5509">
        <w:rPr>
          <w:b/>
          <w:bCs/>
          <w:lang w:eastAsia="ko-KR"/>
        </w:rPr>
        <w:t xml:space="preserve">he UE </w:t>
      </w:r>
      <w:r w:rsidR="00860DF4">
        <w:rPr>
          <w:b/>
          <w:bCs/>
          <w:lang w:eastAsia="ko-KR"/>
        </w:rPr>
        <w:t>could</w:t>
      </w:r>
      <w:r w:rsidR="00860DF4" w:rsidRPr="007F5509">
        <w:rPr>
          <w:b/>
          <w:bCs/>
          <w:lang w:eastAsia="ko-KR"/>
        </w:rPr>
        <w:t xml:space="preserve"> signal the network the length of time that GNSS position fix is valid</w:t>
      </w:r>
      <w:r w:rsidR="00860DF4">
        <w:rPr>
          <w:b/>
          <w:bCs/>
          <w:lang w:eastAsia="ko-KR"/>
        </w:rPr>
        <w:t xml:space="preserve">, and the </w:t>
      </w:r>
      <w:r w:rsidR="00860DF4" w:rsidRPr="007F5509">
        <w:rPr>
          <w:b/>
          <w:bCs/>
          <w:lang w:eastAsia="ko-KR"/>
        </w:rPr>
        <w:t>GNSS position fix validity duration is determined by the UE at the time it is reported by the UE</w:t>
      </w:r>
      <w:r w:rsidR="00405ACE">
        <w:rPr>
          <w:rFonts w:eastAsia="MS Mincho" w:cs="Times New Roman"/>
          <w:b/>
          <w:bCs/>
          <w:kern w:val="2"/>
          <w:lang w:eastAsia="en-US"/>
        </w:rPr>
        <w:fldChar w:fldCharType="end"/>
      </w:r>
      <w:r w:rsidR="00860DF4">
        <w:rPr>
          <w:rFonts w:eastAsia="MS Mincho" w:cs="Times New Roman"/>
          <w:b/>
          <w:bCs/>
          <w:kern w:val="2"/>
          <w:lang w:eastAsia="en-US"/>
        </w:rPr>
        <w:t xml:space="preserve">. </w:t>
      </w:r>
    </w:p>
    <w:p w14:paraId="2D706949" w14:textId="2AAAC7C6" w:rsidR="001B4427" w:rsidRDefault="001B4427"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_Ref86693606 \r \h </w:instrText>
      </w:r>
      <w:r>
        <w:rPr>
          <w:rFonts w:eastAsia="MS Mincho" w:cs="Times New Roman"/>
          <w:b/>
          <w:bCs/>
          <w:kern w:val="2"/>
          <w:lang w:eastAsia="en-US"/>
        </w:rPr>
      </w:r>
      <w:r>
        <w:rPr>
          <w:rFonts w:eastAsia="MS Mincho" w:cs="Times New Roman"/>
          <w:b/>
          <w:bCs/>
          <w:kern w:val="2"/>
          <w:lang w:eastAsia="en-US"/>
        </w:rPr>
        <w:fldChar w:fldCharType="separate"/>
      </w:r>
      <w:r w:rsidR="00860DF4">
        <w:rPr>
          <w:rFonts w:eastAsia="MS Mincho" w:cs="Times New Roman"/>
          <w:b/>
          <w:bCs/>
          <w:kern w:val="2"/>
          <w:lang w:eastAsia="en-US"/>
        </w:rPr>
        <w:t>Proposal 3</w:t>
      </w:r>
      <w:r>
        <w:rPr>
          <w:rFonts w:eastAsia="MS Mincho" w:cs="Times New Roman"/>
          <w:b/>
          <w:bCs/>
          <w:kern w:val="2"/>
          <w:lang w:eastAsia="en-US"/>
        </w:rPr>
        <w:fldChar w:fldCharType="end"/>
      </w:r>
      <w:r>
        <w:rPr>
          <w:rFonts w:eastAsia="MS Mincho" w:cs="Times New Roman"/>
          <w:b/>
          <w:bCs/>
          <w:kern w:val="2"/>
          <w:lang w:eastAsia="en-US"/>
        </w:rPr>
        <w:t xml:space="preserve">. </w:t>
      </w:r>
      <w:r w:rsidR="00405ACE">
        <w:rPr>
          <w:rFonts w:eastAsia="MS Mincho" w:cs="Times New Roman"/>
          <w:b/>
          <w:bCs/>
          <w:kern w:val="2"/>
          <w:lang w:eastAsia="en-US"/>
        </w:rPr>
        <w:fldChar w:fldCharType="begin"/>
      </w:r>
      <w:r w:rsidR="00405ACE">
        <w:rPr>
          <w:rFonts w:eastAsia="MS Mincho" w:cs="Times New Roman"/>
          <w:b/>
          <w:bCs/>
          <w:kern w:val="2"/>
          <w:lang w:eastAsia="en-US"/>
        </w:rPr>
        <w:instrText xml:space="preserve"> REF _Ref86693606 \h </w:instrText>
      </w:r>
      <w:r w:rsidR="00405ACE">
        <w:rPr>
          <w:rFonts w:eastAsia="MS Mincho" w:cs="Times New Roman"/>
          <w:b/>
          <w:bCs/>
          <w:kern w:val="2"/>
          <w:lang w:eastAsia="en-US"/>
        </w:rPr>
      </w:r>
      <w:r w:rsidR="00405ACE">
        <w:rPr>
          <w:rFonts w:eastAsia="MS Mincho" w:cs="Times New Roman"/>
          <w:b/>
          <w:bCs/>
          <w:kern w:val="2"/>
          <w:lang w:eastAsia="en-US"/>
        </w:rPr>
        <w:fldChar w:fldCharType="separate"/>
      </w:r>
      <w:r w:rsidR="00860DF4" w:rsidRPr="00E64C92">
        <w:rPr>
          <w:b/>
          <w:bCs/>
          <w:lang w:eastAsia="ko-KR"/>
        </w:rPr>
        <w:t xml:space="preserve">MAC CE </w:t>
      </w:r>
      <w:r w:rsidR="00860DF4">
        <w:rPr>
          <w:b/>
          <w:bCs/>
          <w:lang w:eastAsia="ko-KR"/>
        </w:rPr>
        <w:t xml:space="preserve">can be used by the UE to </w:t>
      </w:r>
      <w:r w:rsidR="00860DF4" w:rsidRPr="00E64C92">
        <w:rPr>
          <w:b/>
          <w:bCs/>
          <w:lang w:eastAsia="ko-KR"/>
        </w:rPr>
        <w:t xml:space="preserve">report </w:t>
      </w:r>
      <w:r w:rsidR="00860DF4">
        <w:rPr>
          <w:b/>
          <w:bCs/>
          <w:lang w:eastAsia="ko-KR"/>
        </w:rPr>
        <w:t>the remaining</w:t>
      </w:r>
      <w:r w:rsidR="00860DF4" w:rsidRPr="00E64C92">
        <w:t xml:space="preserve"> </w:t>
      </w:r>
      <w:r w:rsidR="00860DF4" w:rsidRPr="00E64C92">
        <w:rPr>
          <w:b/>
          <w:bCs/>
          <w:lang w:eastAsia="ko-KR"/>
        </w:rPr>
        <w:t>valid duration</w:t>
      </w:r>
      <w:r w:rsidR="00860DF4">
        <w:rPr>
          <w:b/>
          <w:bCs/>
          <w:lang w:eastAsia="ko-KR"/>
        </w:rPr>
        <w:t xml:space="preserve"> of GNSS position fix.</w:t>
      </w:r>
      <w:r w:rsidR="00405ACE">
        <w:rPr>
          <w:rFonts w:eastAsia="MS Mincho" w:cs="Times New Roman"/>
          <w:b/>
          <w:bCs/>
          <w:kern w:val="2"/>
          <w:lang w:eastAsia="en-US"/>
        </w:rPr>
        <w:fldChar w:fldCharType="end"/>
      </w:r>
    </w:p>
    <w:p w14:paraId="5FF98E56" w14:textId="6951DE5C" w:rsidR="001B4427" w:rsidRDefault="001B4427"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_Ref86693612 \r \h </w:instrText>
      </w:r>
      <w:r>
        <w:rPr>
          <w:rFonts w:eastAsia="MS Mincho" w:cs="Times New Roman"/>
          <w:b/>
          <w:bCs/>
          <w:kern w:val="2"/>
          <w:lang w:eastAsia="en-US"/>
        </w:rPr>
      </w:r>
      <w:r>
        <w:rPr>
          <w:rFonts w:eastAsia="MS Mincho" w:cs="Times New Roman"/>
          <w:b/>
          <w:bCs/>
          <w:kern w:val="2"/>
          <w:lang w:eastAsia="en-US"/>
        </w:rPr>
        <w:fldChar w:fldCharType="separate"/>
      </w:r>
      <w:r w:rsidR="00860DF4">
        <w:rPr>
          <w:rFonts w:eastAsia="MS Mincho" w:cs="Times New Roman"/>
          <w:b/>
          <w:bCs/>
          <w:kern w:val="2"/>
          <w:lang w:eastAsia="en-US"/>
        </w:rPr>
        <w:t>Proposal 4</w:t>
      </w:r>
      <w:r>
        <w:rPr>
          <w:rFonts w:eastAsia="MS Mincho" w:cs="Times New Roman"/>
          <w:b/>
          <w:bCs/>
          <w:kern w:val="2"/>
          <w:lang w:eastAsia="en-US"/>
        </w:rPr>
        <w:fldChar w:fldCharType="end"/>
      </w:r>
      <w:r>
        <w:rPr>
          <w:rFonts w:eastAsia="MS Mincho" w:cs="Times New Roman"/>
          <w:b/>
          <w:bCs/>
          <w:kern w:val="2"/>
          <w:lang w:eastAsia="en-US"/>
        </w:rPr>
        <w:t xml:space="preserve">. </w:t>
      </w:r>
      <w:r w:rsidR="00405ACE">
        <w:rPr>
          <w:rFonts w:eastAsia="MS Mincho" w:cs="Times New Roman"/>
          <w:b/>
          <w:bCs/>
          <w:kern w:val="2"/>
          <w:lang w:eastAsia="en-US"/>
        </w:rPr>
        <w:fldChar w:fldCharType="begin"/>
      </w:r>
      <w:r w:rsidR="00405ACE">
        <w:rPr>
          <w:rFonts w:eastAsia="MS Mincho" w:cs="Times New Roman"/>
          <w:b/>
          <w:bCs/>
          <w:kern w:val="2"/>
          <w:lang w:eastAsia="en-US"/>
        </w:rPr>
        <w:instrText xml:space="preserve"> REF _Ref86693612 \h </w:instrText>
      </w:r>
      <w:r w:rsidR="00405ACE">
        <w:rPr>
          <w:rFonts w:eastAsia="MS Mincho" w:cs="Times New Roman"/>
          <w:b/>
          <w:bCs/>
          <w:kern w:val="2"/>
          <w:lang w:eastAsia="en-US"/>
        </w:rPr>
      </w:r>
      <w:r w:rsidR="00405ACE">
        <w:rPr>
          <w:rFonts w:eastAsia="MS Mincho" w:cs="Times New Roman"/>
          <w:b/>
          <w:bCs/>
          <w:kern w:val="2"/>
          <w:lang w:eastAsia="en-US"/>
        </w:rPr>
        <w:fldChar w:fldCharType="separate"/>
      </w:r>
      <w:r w:rsidR="00860DF4" w:rsidRPr="00DC41FE">
        <w:rPr>
          <w:b/>
          <w:bCs/>
          <w:lang w:eastAsia="ko-KR"/>
        </w:rPr>
        <w:t>Support UL gaps during long transmission to avoid phase discontinuity between segments.</w:t>
      </w:r>
      <w:r w:rsidR="00405ACE">
        <w:rPr>
          <w:rFonts w:eastAsia="MS Mincho" w:cs="Times New Roman"/>
          <w:b/>
          <w:bCs/>
          <w:kern w:val="2"/>
          <w:lang w:eastAsia="en-US"/>
        </w:rPr>
        <w:fldChar w:fldCharType="end"/>
      </w:r>
    </w:p>
    <w:p w14:paraId="792C0E31" w14:textId="71E52FC3" w:rsidR="001B4427" w:rsidRDefault="001B4427"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_Ref86693616 \r \h </w:instrText>
      </w:r>
      <w:r>
        <w:rPr>
          <w:rFonts w:eastAsia="MS Mincho" w:cs="Times New Roman"/>
          <w:b/>
          <w:bCs/>
          <w:kern w:val="2"/>
          <w:lang w:eastAsia="en-US"/>
        </w:rPr>
      </w:r>
      <w:r>
        <w:rPr>
          <w:rFonts w:eastAsia="MS Mincho" w:cs="Times New Roman"/>
          <w:b/>
          <w:bCs/>
          <w:kern w:val="2"/>
          <w:lang w:eastAsia="en-US"/>
        </w:rPr>
        <w:fldChar w:fldCharType="separate"/>
      </w:r>
      <w:r w:rsidR="00860DF4">
        <w:rPr>
          <w:rFonts w:eastAsia="MS Mincho" w:cs="Times New Roman"/>
          <w:b/>
          <w:bCs/>
          <w:kern w:val="2"/>
          <w:lang w:eastAsia="en-US"/>
        </w:rPr>
        <w:t>Proposal 5</w:t>
      </w:r>
      <w:r>
        <w:rPr>
          <w:rFonts w:eastAsia="MS Mincho" w:cs="Times New Roman"/>
          <w:b/>
          <w:bCs/>
          <w:kern w:val="2"/>
          <w:lang w:eastAsia="en-US"/>
        </w:rPr>
        <w:fldChar w:fldCharType="end"/>
      </w:r>
      <w:r>
        <w:rPr>
          <w:rFonts w:eastAsia="MS Mincho" w:cs="Times New Roman"/>
          <w:b/>
          <w:bCs/>
          <w:kern w:val="2"/>
          <w:lang w:eastAsia="en-US"/>
        </w:rPr>
        <w:t xml:space="preserve">. </w:t>
      </w:r>
      <w:r w:rsidR="00405ACE">
        <w:rPr>
          <w:rFonts w:eastAsia="MS Mincho" w:cs="Times New Roman"/>
          <w:b/>
          <w:bCs/>
          <w:kern w:val="2"/>
          <w:lang w:eastAsia="en-US"/>
        </w:rPr>
        <w:fldChar w:fldCharType="begin"/>
      </w:r>
      <w:r w:rsidR="00405ACE">
        <w:rPr>
          <w:rFonts w:eastAsia="MS Mincho" w:cs="Times New Roman"/>
          <w:b/>
          <w:bCs/>
          <w:kern w:val="2"/>
          <w:lang w:eastAsia="en-US"/>
        </w:rPr>
        <w:instrText xml:space="preserve"> REF _Ref86693616 \h </w:instrText>
      </w:r>
      <w:r w:rsidR="00405ACE">
        <w:rPr>
          <w:rFonts w:eastAsia="MS Mincho" w:cs="Times New Roman"/>
          <w:b/>
          <w:bCs/>
          <w:kern w:val="2"/>
          <w:lang w:eastAsia="en-US"/>
        </w:rPr>
      </w:r>
      <w:r w:rsidR="00405ACE">
        <w:rPr>
          <w:rFonts w:eastAsia="MS Mincho" w:cs="Times New Roman"/>
          <w:b/>
          <w:bCs/>
          <w:kern w:val="2"/>
          <w:lang w:eastAsia="en-US"/>
        </w:rPr>
        <w:fldChar w:fldCharType="separate"/>
      </w:r>
      <w:r w:rsidR="00860DF4" w:rsidRPr="00E12B7D">
        <w:rPr>
          <w:b/>
          <w:bCs/>
          <w:lang w:eastAsia="ko-KR"/>
        </w:rPr>
        <w:t>Support increased channel raster size in IoT NTN.</w:t>
      </w:r>
      <w:r w:rsidR="00405ACE">
        <w:rPr>
          <w:rFonts w:eastAsia="MS Mincho" w:cs="Times New Roman"/>
          <w:b/>
          <w:bCs/>
          <w:kern w:val="2"/>
          <w:lang w:eastAsia="en-US"/>
        </w:rPr>
        <w:fldChar w:fldCharType="end"/>
      </w:r>
    </w:p>
    <w:p w14:paraId="29687084" w14:textId="77777777" w:rsidR="00A277BA" w:rsidRPr="00A277BA" w:rsidRDefault="00A277BA" w:rsidP="00A277BA">
      <w:pPr>
        <w:widowControl w:val="0"/>
        <w:adjustRightInd w:val="0"/>
        <w:snapToGrid w:val="0"/>
        <w:spacing w:line="300" w:lineRule="auto"/>
        <w:rPr>
          <w:rFonts w:eastAsia="MS Mincho" w:cs="Times New Roman"/>
          <w:kern w:val="2"/>
          <w:sz w:val="20"/>
          <w:szCs w:val="24"/>
          <w:lang w:eastAsia="en-US"/>
        </w:rPr>
      </w:pPr>
    </w:p>
    <w:p w14:paraId="0C608F38" w14:textId="40C99FB5" w:rsidR="00690981" w:rsidRPr="00B328F2" w:rsidRDefault="00690981" w:rsidP="00690981">
      <w:pPr>
        <w:pStyle w:val="Heading1"/>
        <w:rPr>
          <w:lang w:eastAsia="ja-JP"/>
        </w:rPr>
      </w:pPr>
      <w:r w:rsidRPr="00B328F2">
        <w:rPr>
          <w:lang w:eastAsia="ja-JP"/>
        </w:rPr>
        <w:t xml:space="preserve">References </w:t>
      </w:r>
    </w:p>
    <w:p w14:paraId="06E958C1" w14:textId="77777777" w:rsidR="007D46E2" w:rsidRPr="007D46E2" w:rsidRDefault="007D46E2" w:rsidP="003F7CB4">
      <w:pPr>
        <w:pStyle w:val="ListParagraph"/>
        <w:widowControl w:val="0"/>
        <w:numPr>
          <w:ilvl w:val="0"/>
          <w:numId w:val="14"/>
        </w:numPr>
        <w:adjustRightInd w:val="0"/>
        <w:snapToGrid w:val="0"/>
        <w:spacing w:line="300" w:lineRule="auto"/>
        <w:contextualSpacing w:val="0"/>
      </w:pPr>
      <w:r w:rsidRPr="007D46E2">
        <w:rPr>
          <w:bCs/>
        </w:rPr>
        <w:t>RP-211601, “WID on NB-IoT/eMTC support for NTN NR-NTN”, RAN #92-e, Jun. 2021.</w:t>
      </w:r>
    </w:p>
    <w:p w14:paraId="2B5EA6F4" w14:textId="2EB23D60" w:rsidR="00E46466" w:rsidRPr="00B328F2" w:rsidRDefault="003F7CB4" w:rsidP="003F7CB4">
      <w:pPr>
        <w:pStyle w:val="ListParagraph"/>
        <w:widowControl w:val="0"/>
        <w:numPr>
          <w:ilvl w:val="0"/>
          <w:numId w:val="14"/>
        </w:numPr>
        <w:adjustRightInd w:val="0"/>
        <w:snapToGrid w:val="0"/>
        <w:spacing w:line="300" w:lineRule="auto"/>
        <w:contextualSpacing w:val="0"/>
      </w:pPr>
      <w:r w:rsidRPr="003F7CB4">
        <w:rPr>
          <w:bCs/>
        </w:rPr>
        <w:t>TR 36.763 V17.0.0, 3GPP TSG RAN; Study on Narrow-Band Internet of Things (NB-IoT) / enhanced Machine Type Communication (eMTC) support for Non-Terrestrial Networks (NTN) (Release 17), June 2021.</w:t>
      </w:r>
    </w:p>
    <w:sectPr w:rsidR="00E46466"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5EC6935"/>
    <w:multiLevelType w:val="hybridMultilevel"/>
    <w:tmpl w:val="B75CF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20064B58"/>
    <w:multiLevelType w:val="hybridMultilevel"/>
    <w:tmpl w:val="EB84BBF0"/>
    <w:lvl w:ilvl="0" w:tplc="03CE556E">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1"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CD0216"/>
    <w:multiLevelType w:val="hybridMultilevel"/>
    <w:tmpl w:val="C31A7022"/>
    <w:lvl w:ilvl="0" w:tplc="E07E0032">
      <w:numFmt w:val="bullet"/>
      <w:lvlText w:val="-"/>
      <w:lvlJc w:val="left"/>
      <w:pPr>
        <w:ind w:left="1080" w:hanging="72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577B7F"/>
    <w:multiLevelType w:val="hybridMultilevel"/>
    <w:tmpl w:val="0950985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177420D"/>
    <w:multiLevelType w:val="hybridMultilevel"/>
    <w:tmpl w:val="3D86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A21994"/>
    <w:multiLevelType w:val="hybridMultilevel"/>
    <w:tmpl w:val="E0F8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9960F29"/>
    <w:multiLevelType w:val="hybridMultilevel"/>
    <w:tmpl w:val="95A0AC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501CB5"/>
    <w:multiLevelType w:val="hybridMultilevel"/>
    <w:tmpl w:val="F20C6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8"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9"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1"/>
  </w:num>
  <w:num w:numId="4">
    <w:abstractNumId w:val="23"/>
  </w:num>
  <w:num w:numId="5">
    <w:abstractNumId w:val="19"/>
  </w:num>
  <w:num w:numId="6">
    <w:abstractNumId w:val="2"/>
  </w:num>
  <w:num w:numId="7">
    <w:abstractNumId w:val="9"/>
  </w:num>
  <w:num w:numId="8">
    <w:abstractNumId w:val="15"/>
  </w:num>
  <w:num w:numId="9">
    <w:abstractNumId w:val="27"/>
  </w:num>
  <w:num w:numId="10">
    <w:abstractNumId w:val="29"/>
  </w:num>
  <w:num w:numId="11">
    <w:abstractNumId w:val="20"/>
  </w:num>
  <w:num w:numId="12">
    <w:abstractNumId w:val="24"/>
  </w:num>
  <w:num w:numId="13">
    <w:abstractNumId w:val="7"/>
  </w:num>
  <w:num w:numId="14">
    <w:abstractNumId w:val="6"/>
  </w:num>
  <w:num w:numId="15">
    <w:abstractNumId w:val="26"/>
  </w:num>
  <w:num w:numId="16">
    <w:abstractNumId w:val="3"/>
  </w:num>
  <w:num w:numId="17">
    <w:abstractNumId w:val="21"/>
  </w:num>
  <w:num w:numId="18">
    <w:abstractNumId w:val="14"/>
  </w:num>
  <w:num w:numId="19">
    <w:abstractNumId w:val="18"/>
  </w:num>
  <w:num w:numId="20">
    <w:abstractNumId w:val="4"/>
  </w:num>
  <w:num w:numId="21">
    <w:abstractNumId w:val="0"/>
  </w:num>
  <w:num w:numId="22">
    <w:abstractNumId w:val="28"/>
  </w:num>
  <w:num w:numId="23">
    <w:abstractNumId w:val="25"/>
  </w:num>
  <w:num w:numId="24">
    <w:abstractNumId w:val="12"/>
  </w:num>
  <w:num w:numId="25">
    <w:abstractNumId w:val="13"/>
  </w:num>
  <w:num w:numId="26">
    <w:abstractNumId w:val="22"/>
  </w:num>
  <w:num w:numId="27">
    <w:abstractNumId w:val="8"/>
  </w:num>
  <w:num w:numId="28">
    <w:abstractNumId w:val="17"/>
  </w:num>
  <w:num w:numId="29">
    <w:abstractNumId w:val="16"/>
  </w:num>
  <w:num w:numId="30">
    <w:abstractNumId w:val="21"/>
  </w:num>
  <w:num w:numId="31">
    <w:abstractNumId w:val="21"/>
  </w:num>
  <w:num w:numId="32">
    <w:abstractNumId w:val="21"/>
  </w:num>
  <w:num w:numId="33">
    <w:abstractNumId w:val="21"/>
  </w:num>
  <w:num w:numId="34">
    <w:abstractNumId w:val="1"/>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C4"/>
    <w:rsid w:val="000101E2"/>
    <w:rsid w:val="0007000C"/>
    <w:rsid w:val="0007488B"/>
    <w:rsid w:val="00075B1C"/>
    <w:rsid w:val="00077D7F"/>
    <w:rsid w:val="00083FDC"/>
    <w:rsid w:val="00091C85"/>
    <w:rsid w:val="00093C6A"/>
    <w:rsid w:val="000B321B"/>
    <w:rsid w:val="00107931"/>
    <w:rsid w:val="00125809"/>
    <w:rsid w:val="00131819"/>
    <w:rsid w:val="001637F7"/>
    <w:rsid w:val="001669F9"/>
    <w:rsid w:val="0018305D"/>
    <w:rsid w:val="001966F4"/>
    <w:rsid w:val="001A45BA"/>
    <w:rsid w:val="001B4427"/>
    <w:rsid w:val="001B6D2F"/>
    <w:rsid w:val="001C4290"/>
    <w:rsid w:val="001E1E68"/>
    <w:rsid w:val="001E3173"/>
    <w:rsid w:val="001E570E"/>
    <w:rsid w:val="001F3329"/>
    <w:rsid w:val="001F62C0"/>
    <w:rsid w:val="00205321"/>
    <w:rsid w:val="002119A6"/>
    <w:rsid w:val="0021240C"/>
    <w:rsid w:val="0021770D"/>
    <w:rsid w:val="00226B89"/>
    <w:rsid w:val="00246308"/>
    <w:rsid w:val="0025372F"/>
    <w:rsid w:val="00255503"/>
    <w:rsid w:val="00261191"/>
    <w:rsid w:val="0028440F"/>
    <w:rsid w:val="00285454"/>
    <w:rsid w:val="00290A58"/>
    <w:rsid w:val="002E38B4"/>
    <w:rsid w:val="002F62E5"/>
    <w:rsid w:val="00306071"/>
    <w:rsid w:val="0032095F"/>
    <w:rsid w:val="0033013B"/>
    <w:rsid w:val="00341228"/>
    <w:rsid w:val="00362BCC"/>
    <w:rsid w:val="0036763D"/>
    <w:rsid w:val="00385CC4"/>
    <w:rsid w:val="00391E3D"/>
    <w:rsid w:val="003938A2"/>
    <w:rsid w:val="003A67B8"/>
    <w:rsid w:val="003B2BC7"/>
    <w:rsid w:val="003D4E45"/>
    <w:rsid w:val="003F385B"/>
    <w:rsid w:val="003F394F"/>
    <w:rsid w:val="003F7CB4"/>
    <w:rsid w:val="0040214A"/>
    <w:rsid w:val="00402CE1"/>
    <w:rsid w:val="004046B7"/>
    <w:rsid w:val="00405ACE"/>
    <w:rsid w:val="004355A5"/>
    <w:rsid w:val="0044562D"/>
    <w:rsid w:val="00456D36"/>
    <w:rsid w:val="00462C04"/>
    <w:rsid w:val="0046759C"/>
    <w:rsid w:val="00475B53"/>
    <w:rsid w:val="0049651D"/>
    <w:rsid w:val="004A6A8B"/>
    <w:rsid w:val="004C02BC"/>
    <w:rsid w:val="004F6922"/>
    <w:rsid w:val="00501082"/>
    <w:rsid w:val="00510F89"/>
    <w:rsid w:val="0051324E"/>
    <w:rsid w:val="00520120"/>
    <w:rsid w:val="00520F9E"/>
    <w:rsid w:val="005301FE"/>
    <w:rsid w:val="00535022"/>
    <w:rsid w:val="005416DF"/>
    <w:rsid w:val="00543F48"/>
    <w:rsid w:val="00582065"/>
    <w:rsid w:val="00590118"/>
    <w:rsid w:val="005953EE"/>
    <w:rsid w:val="005B3346"/>
    <w:rsid w:val="005C6F8B"/>
    <w:rsid w:val="005E6866"/>
    <w:rsid w:val="005F05B2"/>
    <w:rsid w:val="005F5375"/>
    <w:rsid w:val="00611324"/>
    <w:rsid w:val="00642716"/>
    <w:rsid w:val="00644B70"/>
    <w:rsid w:val="00660A2F"/>
    <w:rsid w:val="00675F2E"/>
    <w:rsid w:val="00690981"/>
    <w:rsid w:val="006C6F77"/>
    <w:rsid w:val="006E2CF7"/>
    <w:rsid w:val="006F2F0A"/>
    <w:rsid w:val="00700DAB"/>
    <w:rsid w:val="00711381"/>
    <w:rsid w:val="0072276F"/>
    <w:rsid w:val="007456A0"/>
    <w:rsid w:val="00745B78"/>
    <w:rsid w:val="00746C7A"/>
    <w:rsid w:val="00756DB0"/>
    <w:rsid w:val="00763918"/>
    <w:rsid w:val="00766F99"/>
    <w:rsid w:val="00796D6A"/>
    <w:rsid w:val="007A1551"/>
    <w:rsid w:val="007B21B4"/>
    <w:rsid w:val="007D46E2"/>
    <w:rsid w:val="007E05EC"/>
    <w:rsid w:val="007F24FF"/>
    <w:rsid w:val="007F5509"/>
    <w:rsid w:val="007F6219"/>
    <w:rsid w:val="007F7C30"/>
    <w:rsid w:val="008114A8"/>
    <w:rsid w:val="0082773D"/>
    <w:rsid w:val="0083707F"/>
    <w:rsid w:val="0083784B"/>
    <w:rsid w:val="00854FD2"/>
    <w:rsid w:val="00860DF4"/>
    <w:rsid w:val="00864F78"/>
    <w:rsid w:val="00866F53"/>
    <w:rsid w:val="008C088D"/>
    <w:rsid w:val="008D045F"/>
    <w:rsid w:val="008F63B5"/>
    <w:rsid w:val="00902724"/>
    <w:rsid w:val="009257D5"/>
    <w:rsid w:val="009562BC"/>
    <w:rsid w:val="00957397"/>
    <w:rsid w:val="009658A0"/>
    <w:rsid w:val="0097429C"/>
    <w:rsid w:val="009829C8"/>
    <w:rsid w:val="00990AA4"/>
    <w:rsid w:val="009D12EC"/>
    <w:rsid w:val="00A066AC"/>
    <w:rsid w:val="00A277BA"/>
    <w:rsid w:val="00A4141B"/>
    <w:rsid w:val="00A75612"/>
    <w:rsid w:val="00A91F3B"/>
    <w:rsid w:val="00AA221A"/>
    <w:rsid w:val="00AA3618"/>
    <w:rsid w:val="00AA4983"/>
    <w:rsid w:val="00AA5A3E"/>
    <w:rsid w:val="00AC64A2"/>
    <w:rsid w:val="00AD2001"/>
    <w:rsid w:val="00AF3AED"/>
    <w:rsid w:val="00B016E3"/>
    <w:rsid w:val="00B030B1"/>
    <w:rsid w:val="00B12FA3"/>
    <w:rsid w:val="00B170DD"/>
    <w:rsid w:val="00B328F2"/>
    <w:rsid w:val="00B33918"/>
    <w:rsid w:val="00B36DA9"/>
    <w:rsid w:val="00B46B23"/>
    <w:rsid w:val="00B610C4"/>
    <w:rsid w:val="00B757CB"/>
    <w:rsid w:val="00B80D46"/>
    <w:rsid w:val="00B84482"/>
    <w:rsid w:val="00B8582D"/>
    <w:rsid w:val="00B93FA7"/>
    <w:rsid w:val="00B945CD"/>
    <w:rsid w:val="00BB2C34"/>
    <w:rsid w:val="00BB2D3C"/>
    <w:rsid w:val="00BB7C53"/>
    <w:rsid w:val="00BC3E32"/>
    <w:rsid w:val="00BD41F2"/>
    <w:rsid w:val="00BE7E7B"/>
    <w:rsid w:val="00BF79EA"/>
    <w:rsid w:val="00C137E1"/>
    <w:rsid w:val="00C155C4"/>
    <w:rsid w:val="00C1794A"/>
    <w:rsid w:val="00C23C9C"/>
    <w:rsid w:val="00C25236"/>
    <w:rsid w:val="00C33FEC"/>
    <w:rsid w:val="00C546C5"/>
    <w:rsid w:val="00C67DEF"/>
    <w:rsid w:val="00C70A6E"/>
    <w:rsid w:val="00C753A5"/>
    <w:rsid w:val="00C80E03"/>
    <w:rsid w:val="00C82C5D"/>
    <w:rsid w:val="00C86E99"/>
    <w:rsid w:val="00CA04C8"/>
    <w:rsid w:val="00CB5E62"/>
    <w:rsid w:val="00CC3120"/>
    <w:rsid w:val="00CC6E06"/>
    <w:rsid w:val="00CE0D3A"/>
    <w:rsid w:val="00CE6416"/>
    <w:rsid w:val="00D105A6"/>
    <w:rsid w:val="00D14A40"/>
    <w:rsid w:val="00D14B9F"/>
    <w:rsid w:val="00D21881"/>
    <w:rsid w:val="00D321F4"/>
    <w:rsid w:val="00D33582"/>
    <w:rsid w:val="00D34285"/>
    <w:rsid w:val="00D37311"/>
    <w:rsid w:val="00D504DD"/>
    <w:rsid w:val="00D56353"/>
    <w:rsid w:val="00D579D0"/>
    <w:rsid w:val="00D61F34"/>
    <w:rsid w:val="00D6488D"/>
    <w:rsid w:val="00DA45AC"/>
    <w:rsid w:val="00DC41FE"/>
    <w:rsid w:val="00DE32E0"/>
    <w:rsid w:val="00DF1712"/>
    <w:rsid w:val="00E12B7D"/>
    <w:rsid w:val="00E42A72"/>
    <w:rsid w:val="00E46466"/>
    <w:rsid w:val="00E64C92"/>
    <w:rsid w:val="00E72B8B"/>
    <w:rsid w:val="00E86DDC"/>
    <w:rsid w:val="00E91575"/>
    <w:rsid w:val="00E927F3"/>
    <w:rsid w:val="00EA4DB2"/>
    <w:rsid w:val="00EA7A7D"/>
    <w:rsid w:val="00EB1700"/>
    <w:rsid w:val="00EC3EED"/>
    <w:rsid w:val="00EC7D8F"/>
    <w:rsid w:val="00EE7A6B"/>
    <w:rsid w:val="00F061C2"/>
    <w:rsid w:val="00F226E3"/>
    <w:rsid w:val="00F32B4E"/>
    <w:rsid w:val="00F5312E"/>
    <w:rsid w:val="00F96867"/>
    <w:rsid w:val="00FB4E87"/>
    <w:rsid w:val="00FE00FB"/>
    <w:rsid w:val="00FE37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690981"/>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28</cp:revision>
  <dcterms:created xsi:type="dcterms:W3CDTF">2021-11-01T12:14:00Z</dcterms:created>
  <dcterms:modified xsi:type="dcterms:W3CDTF">2021-11-04T11:58:00Z</dcterms:modified>
</cp:coreProperties>
</file>